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B5" w:rsidRDefault="00C317B5" w:rsidP="002E4E3B">
      <w:pPr>
        <w:pStyle w:val="Heading2"/>
      </w:pPr>
    </w:p>
    <w:p w:rsidR="00E2308D" w:rsidRDefault="000E1E41" w:rsidP="000E1E41">
      <w:pPr>
        <w:pStyle w:val="14bldcentr"/>
      </w:pPr>
      <w:r w:rsidRPr="00550FC8">
        <w:t>A</w:t>
      </w:r>
      <w:r>
        <w:t>D</w:t>
      </w:r>
      <w:r w:rsidRPr="00550FC8">
        <w:t xml:space="preserve">DENDUM </w:t>
      </w:r>
      <w:r w:rsidR="00C44B57">
        <w:fldChar w:fldCharType="begin"/>
      </w:r>
      <w:r w:rsidR="00C44B57">
        <w:instrText xml:space="preserve"> MERGEFIELD Addendum_Number_ONE_TWO_etc </w:instrText>
      </w:r>
      <w:r w:rsidR="00C44B57">
        <w:fldChar w:fldCharType="separate"/>
      </w:r>
      <w:r w:rsidR="00E2308D">
        <w:rPr>
          <w:noProof/>
        </w:rPr>
        <w:t>ONE</w:t>
      </w:r>
      <w:r w:rsidR="00C44B57">
        <w:rPr>
          <w:noProof/>
        </w:rPr>
        <w:fldChar w:fldCharType="end"/>
      </w:r>
    </w:p>
    <w:p w:rsidR="000E1E41" w:rsidRPr="00550FC8" w:rsidRDefault="00565F30" w:rsidP="000E1E41">
      <w:pPr>
        <w:pStyle w:val="14bldcentr"/>
      </w:pPr>
      <w:r>
        <w:t>QUESTIONS and ANSWERS</w:t>
      </w:r>
    </w:p>
    <w:p w:rsidR="000E1E41" w:rsidRPr="00BD5697" w:rsidRDefault="000E1E41" w:rsidP="000E1E41">
      <w:pPr>
        <w:pStyle w:val="Level1Body"/>
      </w:pPr>
    </w:p>
    <w:p w:rsidR="000E1E41" w:rsidRPr="00BD5697" w:rsidRDefault="000E1E41" w:rsidP="000E1E41">
      <w:pPr>
        <w:pStyle w:val="Level1Body"/>
      </w:pPr>
    </w:p>
    <w:p w:rsidR="000E1E41" w:rsidRPr="00BD5697" w:rsidRDefault="000E1E41" w:rsidP="000E1E41">
      <w:pPr>
        <w:pStyle w:val="Level1Body"/>
      </w:pPr>
      <w:r w:rsidRPr="00BD5697">
        <w:t>Date</w:t>
      </w:r>
      <w:r>
        <w:t>:</w:t>
      </w:r>
      <w:r>
        <w:tab/>
      </w:r>
      <w:r>
        <w:tab/>
      </w:r>
      <w:r w:rsidR="00E2308D">
        <w:t xml:space="preserve">May </w:t>
      </w:r>
      <w:r w:rsidR="00B858FE">
        <w:t>30,</w:t>
      </w:r>
      <w:r w:rsidR="00E2308D">
        <w:t xml:space="preserve"> 2018</w:t>
      </w:r>
      <w:r w:rsidRPr="00BD5697">
        <w:tab/>
      </w:r>
    </w:p>
    <w:p w:rsidR="000E1E41" w:rsidRPr="00BD5697" w:rsidRDefault="000E1E41" w:rsidP="000E1E41">
      <w:pPr>
        <w:pStyle w:val="Level1Body"/>
      </w:pPr>
    </w:p>
    <w:p w:rsidR="000E1E41" w:rsidRPr="00BD5697" w:rsidRDefault="000E1E41" w:rsidP="000E1E41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:rsidR="000E1E41" w:rsidRPr="00BD5697" w:rsidRDefault="000E1E41" w:rsidP="000E1E41">
      <w:pPr>
        <w:pStyle w:val="Level1Body"/>
      </w:pPr>
    </w:p>
    <w:p w:rsidR="000E1E41" w:rsidRDefault="000E1E41" w:rsidP="000E1E41">
      <w:pPr>
        <w:pStyle w:val="Level1Body"/>
      </w:pPr>
      <w:r w:rsidRPr="00BD5697">
        <w:t>From:</w:t>
      </w:r>
      <w:r w:rsidRPr="00BD5697">
        <w:tab/>
      </w:r>
      <w:bookmarkStart w:id="0" w:name="Text4"/>
      <w:r>
        <w:tab/>
      </w:r>
      <w:bookmarkEnd w:id="0"/>
      <w:r w:rsidR="00E2308D">
        <w:t>Teresa Fleming</w:t>
      </w:r>
      <w:r w:rsidR="00C44B57">
        <w:t>/</w:t>
      </w:r>
      <w:r w:rsidR="00E2308D">
        <w:t>Nancy Storant</w:t>
      </w:r>
      <w:r w:rsidRPr="00BD5697">
        <w:t>, Buyer</w:t>
      </w:r>
      <w:r w:rsidR="00E2308D">
        <w:t>s</w:t>
      </w:r>
    </w:p>
    <w:p w:rsidR="000E1E41" w:rsidRDefault="00E2308D" w:rsidP="000E1E41">
      <w:pPr>
        <w:pStyle w:val="Level3Body"/>
      </w:pPr>
      <w:r>
        <w:t>AS Materiel State Purchasing</w:t>
      </w:r>
    </w:p>
    <w:p w:rsidR="000E1E41" w:rsidRDefault="000E1E41" w:rsidP="000E1E41">
      <w:pPr>
        <w:pStyle w:val="Level1Body"/>
      </w:pPr>
    </w:p>
    <w:p w:rsidR="00FB04DC" w:rsidRPr="00FB04DC" w:rsidRDefault="003E371B" w:rsidP="004152A3">
      <w:pPr>
        <w:pStyle w:val="Level1Body"/>
        <w:ind w:left="1440" w:hanging="1440"/>
      </w:pPr>
      <w:r>
        <w:t>RE:</w:t>
      </w:r>
      <w:r>
        <w:tab/>
      </w:r>
      <w:r w:rsidR="00E2308D">
        <w:t xml:space="preserve">Addendum for Request for Proposal </w:t>
      </w:r>
      <w:r w:rsidR="00565F30">
        <w:t xml:space="preserve">Number </w:t>
      </w:r>
      <w:r w:rsidR="00E2308D">
        <w:t>5849 Z1</w:t>
      </w:r>
      <w:r w:rsidR="00565F30">
        <w:t xml:space="preserve"> </w:t>
      </w:r>
      <w:r w:rsidR="004152A3">
        <w:t>t</w:t>
      </w:r>
      <w:r w:rsidR="00565F30">
        <w:t xml:space="preserve">o be opened </w:t>
      </w:r>
      <w:r w:rsidR="00E2308D">
        <w:t>June 13, 2018</w:t>
      </w:r>
      <w:r w:rsidR="00565F30">
        <w:t xml:space="preserve"> at 2:00 p.m. Central Time</w:t>
      </w:r>
    </w:p>
    <w:p w:rsidR="007124F4" w:rsidRPr="00FB04DC" w:rsidRDefault="007124F4" w:rsidP="00FB04DC">
      <w:pPr>
        <w:pStyle w:val="Level1Body"/>
      </w:pPr>
    </w:p>
    <w:p w:rsidR="007124F4" w:rsidRPr="00FB04DC" w:rsidRDefault="00D472B5" w:rsidP="00FB04DC">
      <w:pPr>
        <w:pStyle w:val="Level1Body"/>
      </w:pPr>
      <w:r w:rsidRPr="00FB04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8248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U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PKVMtT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7124F4" w:rsidRPr="00FB04DC" w:rsidRDefault="007124F4" w:rsidP="00FB04DC">
      <w:pPr>
        <w:pStyle w:val="Level1Body"/>
        <w:sectPr w:rsidR="007124F4" w:rsidRPr="00FB04DC" w:rsidSect="00EE7171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008" w:right="1008" w:bottom="1008" w:left="1008" w:header="360" w:footer="360" w:gutter="0"/>
          <w:cols w:space="720"/>
          <w:noEndnote/>
          <w:docGrid w:linePitch="299"/>
        </w:sectPr>
      </w:pPr>
    </w:p>
    <w:p w:rsidR="00565F30" w:rsidRPr="00BD5697" w:rsidRDefault="00565F30" w:rsidP="00565F30">
      <w:pPr>
        <w:pStyle w:val="Heading4"/>
      </w:pPr>
      <w:r>
        <w:t>Questions and Answers</w:t>
      </w:r>
    </w:p>
    <w:p w:rsidR="00565F30" w:rsidRPr="00BD5697" w:rsidRDefault="00565F30" w:rsidP="00565F30">
      <w:pPr>
        <w:pStyle w:val="Level1Body"/>
      </w:pPr>
    </w:p>
    <w:p w:rsidR="00565F30" w:rsidRDefault="00565F30" w:rsidP="00565F30">
      <w:pPr>
        <w:pStyle w:val="Level1Body"/>
      </w:pPr>
      <w:r w:rsidRPr="00F053F3">
        <w:t xml:space="preserve">Following are the questions submitted and answers provided for the above mentioned </w:t>
      </w:r>
      <w:r w:rsidR="00E2308D">
        <w:t xml:space="preserve">Request for Proposal. </w:t>
      </w:r>
      <w:r w:rsidRPr="00F053F3">
        <w:t xml:space="preserve">The questions and answers are to be considered as part of the </w:t>
      </w:r>
      <w:r w:rsidR="00E2308D">
        <w:t>Request for Proposal.</w:t>
      </w:r>
      <w:r>
        <w:t xml:space="preserve"> It is the Bidder’s responsibility to check the State Purchasing Bureau website for all addenda or amendments.</w:t>
      </w:r>
    </w:p>
    <w:p w:rsidR="000E1E41" w:rsidRPr="000E1E41" w:rsidRDefault="000E1E41" w:rsidP="000E1E41">
      <w:pPr>
        <w:jc w:val="both"/>
        <w:rPr>
          <w:sz w:val="24"/>
        </w:rPr>
        <w:sectPr w:rsidR="000E1E41" w:rsidRPr="000E1E41" w:rsidSect="000E1E41">
          <w:footerReference w:type="default" r:id="rId10"/>
          <w:endnotePr>
            <w:numFmt w:val="decimal"/>
          </w:endnotePr>
          <w:type w:val="continuous"/>
          <w:pgSz w:w="12240" w:h="15840"/>
          <w:pgMar w:top="1440" w:right="1440" w:bottom="1440" w:left="1440" w:header="1440" w:footer="288" w:gutter="0"/>
          <w:cols w:space="720"/>
          <w:noEndnote/>
          <w:titlePg/>
        </w:sectPr>
      </w:pPr>
    </w:p>
    <w:p w:rsidR="000E1E41" w:rsidRPr="000E1E41" w:rsidRDefault="000E1E41" w:rsidP="000E1E41">
      <w:pPr>
        <w:rPr>
          <w:sz w:val="24"/>
        </w:rPr>
        <w:sectPr w:rsidR="000E1E41" w:rsidRPr="000E1E41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0E1E41">
        <w:rPr>
          <w:sz w:val="24"/>
          <w:lang w:val="en-CA"/>
        </w:rPr>
        <w:fldChar w:fldCharType="begin"/>
      </w:r>
      <w:r w:rsidRPr="000E1E41">
        <w:rPr>
          <w:sz w:val="24"/>
          <w:lang w:val="en-CA"/>
        </w:rPr>
        <w:instrText xml:space="preserve"> SEQ CHAPTER \h \r 1</w:instrText>
      </w:r>
      <w:r w:rsidRPr="000E1E41">
        <w:rPr>
          <w:sz w:val="24"/>
          <w:lang w:val="en-CA"/>
        </w:rPr>
        <w:fldChar w:fldCharType="end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40"/>
        <w:gridCol w:w="909"/>
        <w:gridCol w:w="2967"/>
        <w:gridCol w:w="3594"/>
      </w:tblGrid>
      <w:tr w:rsidR="00156635" w:rsidRPr="002A0AF2" w:rsidTr="009945C7">
        <w:tc>
          <w:tcPr>
            <w:tcW w:w="1098" w:type="dxa"/>
            <w:shd w:val="clear" w:color="auto" w:fill="D8D8D8"/>
          </w:tcPr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1440" w:type="dxa"/>
            <w:shd w:val="clear" w:color="auto" w:fill="D8D8D8"/>
          </w:tcPr>
          <w:p w:rsidR="00156635" w:rsidRPr="002A0AF2" w:rsidRDefault="00E2308D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</w:t>
            </w:r>
          </w:p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Section</w:t>
            </w:r>
          </w:p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909" w:type="dxa"/>
            <w:shd w:val="clear" w:color="auto" w:fill="D8D8D8"/>
          </w:tcPr>
          <w:p w:rsidR="00156635" w:rsidRPr="002A0AF2" w:rsidRDefault="00E2308D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</w:t>
            </w:r>
          </w:p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2967" w:type="dxa"/>
            <w:shd w:val="clear" w:color="auto" w:fill="D8D8D8"/>
          </w:tcPr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3594" w:type="dxa"/>
            <w:shd w:val="clear" w:color="auto" w:fill="D8D8D8"/>
          </w:tcPr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156635" w:rsidRPr="001B2C47" w:rsidTr="009945C7">
        <w:tc>
          <w:tcPr>
            <w:tcW w:w="1098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156635" w:rsidRPr="001B2C47" w:rsidRDefault="00E2308D" w:rsidP="001B2C47">
            <w:pPr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Whether companies from Outside USA can apply for th</w:t>
            </w:r>
            <w:r w:rsidR="001B2C47">
              <w:rPr>
                <w:rFonts w:cs="Arial"/>
                <w:szCs w:val="22"/>
              </w:rPr>
              <w:t>is? (</w:t>
            </w:r>
            <w:proofErr w:type="spellStart"/>
            <w:r w:rsidR="001B2C47">
              <w:rPr>
                <w:rFonts w:cs="Arial"/>
                <w:szCs w:val="22"/>
              </w:rPr>
              <w:t>like,from</w:t>
            </w:r>
            <w:proofErr w:type="spellEnd"/>
            <w:r w:rsidR="001B2C47">
              <w:rPr>
                <w:rFonts w:cs="Arial"/>
                <w:szCs w:val="22"/>
              </w:rPr>
              <w:t xml:space="preserve"> India or Canada)</w:t>
            </w:r>
          </w:p>
        </w:tc>
        <w:tc>
          <w:tcPr>
            <w:tcW w:w="3594" w:type="dxa"/>
            <w:shd w:val="clear" w:color="auto" w:fill="auto"/>
          </w:tcPr>
          <w:p w:rsidR="00156635" w:rsidRPr="00A22DBB" w:rsidRDefault="00A22DBB" w:rsidP="00156635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  <w:tr w:rsidR="00156635" w:rsidRPr="001B2C47" w:rsidTr="009945C7">
        <w:tc>
          <w:tcPr>
            <w:tcW w:w="1098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156635" w:rsidRPr="001B2C47" w:rsidRDefault="00E2308D" w:rsidP="001B2C47">
            <w:pPr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Whether we need t</w:t>
            </w:r>
            <w:r w:rsidR="001B2C47">
              <w:rPr>
                <w:rFonts w:cs="Arial"/>
                <w:szCs w:val="22"/>
              </w:rPr>
              <w:t>o come over there for meetings?</w:t>
            </w:r>
          </w:p>
        </w:tc>
        <w:tc>
          <w:tcPr>
            <w:tcW w:w="3594" w:type="dxa"/>
            <w:shd w:val="clear" w:color="auto" w:fill="auto"/>
          </w:tcPr>
          <w:p w:rsidR="00156635" w:rsidRPr="00A22DBB" w:rsidRDefault="00A22DBB" w:rsidP="00A22DBB">
            <w:pPr>
              <w:pStyle w:val="Level1Body"/>
              <w:rPr>
                <w:rFonts w:cs="Arial"/>
                <w:szCs w:val="22"/>
              </w:rPr>
            </w:pPr>
            <w:r w:rsidRPr="00A22DBB">
              <w:rPr>
                <w:rFonts w:cs="Arial"/>
                <w:szCs w:val="22"/>
              </w:rPr>
              <w:t>Yes</w:t>
            </w:r>
          </w:p>
        </w:tc>
      </w:tr>
      <w:tr w:rsidR="00156635" w:rsidRPr="001B2C47" w:rsidTr="009945C7">
        <w:tc>
          <w:tcPr>
            <w:tcW w:w="1098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156635" w:rsidRPr="001B2C47" w:rsidRDefault="00E2308D" w:rsidP="001B2C47">
            <w:pPr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Can we perform the tasks (related to RFP) outside US</w:t>
            </w:r>
            <w:r w:rsidR="001B2C47">
              <w:rPr>
                <w:rFonts w:cs="Arial"/>
                <w:szCs w:val="22"/>
              </w:rPr>
              <w:t>A? (like, from India or Canada)</w:t>
            </w:r>
          </w:p>
        </w:tc>
        <w:tc>
          <w:tcPr>
            <w:tcW w:w="3594" w:type="dxa"/>
            <w:shd w:val="clear" w:color="auto" w:fill="auto"/>
          </w:tcPr>
          <w:p w:rsidR="00156635" w:rsidRPr="00A22DBB" w:rsidRDefault="00A22DBB" w:rsidP="00156635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Some tasks will be able to be performed outside of the USA and some tasks will be required to be performed in the USA.  </w:t>
            </w:r>
          </w:p>
        </w:tc>
      </w:tr>
      <w:tr w:rsidR="00156635" w:rsidRPr="001B2C47" w:rsidTr="009945C7">
        <w:tc>
          <w:tcPr>
            <w:tcW w:w="1098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56635" w:rsidRPr="001B2C47" w:rsidRDefault="00156635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156635" w:rsidRPr="001B2C47" w:rsidRDefault="00E2308D" w:rsidP="001B2C47">
            <w:pPr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 xml:space="preserve">Can we </w:t>
            </w:r>
            <w:r w:rsidR="001B2C47">
              <w:rPr>
                <w:rFonts w:cs="Arial"/>
                <w:szCs w:val="22"/>
              </w:rPr>
              <w:t>submit the proposals via email?</w:t>
            </w:r>
          </w:p>
        </w:tc>
        <w:tc>
          <w:tcPr>
            <w:tcW w:w="3594" w:type="dxa"/>
            <w:shd w:val="clear" w:color="auto" w:fill="auto"/>
          </w:tcPr>
          <w:p w:rsidR="00156635" w:rsidRPr="00A22DBB" w:rsidRDefault="00A22DBB" w:rsidP="00156635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What is the estimated cost of the Automated Data Collection (ADC) Application Services project?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A22DBB" w:rsidP="00C44B57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estimated cost is unknown at this time.  </w:t>
            </w:r>
            <w:r w:rsidR="009945C7">
              <w:rPr>
                <w:rFonts w:cs="Arial"/>
                <w:szCs w:val="22"/>
              </w:rPr>
              <w:t xml:space="preserve">The cost of this project </w:t>
            </w:r>
            <w:r w:rsidR="00C44B57">
              <w:rPr>
                <w:rFonts w:cs="Arial"/>
                <w:szCs w:val="22"/>
              </w:rPr>
              <w:t xml:space="preserve">is </w:t>
            </w:r>
            <w:r w:rsidR="009945C7">
              <w:rPr>
                <w:rFonts w:cs="Arial"/>
                <w:szCs w:val="22"/>
              </w:rPr>
              <w:t>depend</w:t>
            </w:r>
            <w:r w:rsidR="00C44B57">
              <w:rPr>
                <w:rFonts w:cs="Arial"/>
                <w:szCs w:val="22"/>
              </w:rPr>
              <w:t xml:space="preserve">ent </w:t>
            </w:r>
            <w:r w:rsidR="009945C7">
              <w:rPr>
                <w:rFonts w:cs="Arial"/>
                <w:szCs w:val="22"/>
              </w:rPr>
              <w:t xml:space="preserve">on the proposals submitted in response to the RFP.  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6.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 xml:space="preserve">Has the Department allocated funding for the ADC Application Services yet? If so, through which source (budget, CIP, state/federal grant </w:t>
            </w:r>
            <w:proofErr w:type="spellStart"/>
            <w:r w:rsidRPr="001B2C47">
              <w:rPr>
                <w:rFonts w:cs="Arial"/>
                <w:szCs w:val="22"/>
              </w:rPr>
              <w:t>etc</w:t>
            </w:r>
            <w:proofErr w:type="spellEnd"/>
            <w:r w:rsidRPr="001B2C47">
              <w:rPr>
                <w:rFonts w:cs="Arial"/>
                <w:szCs w:val="22"/>
              </w:rPr>
              <w:t>)?</w:t>
            </w:r>
          </w:p>
        </w:tc>
        <w:tc>
          <w:tcPr>
            <w:tcW w:w="3594" w:type="dxa"/>
            <w:shd w:val="clear" w:color="auto" w:fill="auto"/>
          </w:tcPr>
          <w:p w:rsidR="00E2308D" w:rsidRPr="00A22DBB" w:rsidRDefault="009E7049" w:rsidP="009E7049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 - budget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3943CF">
            <w:pPr>
              <w:pStyle w:val="ListParagraph"/>
              <w:keepNext/>
              <w:keepLines/>
              <w:ind w:left="0"/>
              <w:rPr>
                <w:rFonts w:ascii="Arial" w:hAnsi="Arial" w:cs="Arial"/>
              </w:rPr>
            </w:pPr>
            <w:r w:rsidRPr="001B2C47">
              <w:rPr>
                <w:rFonts w:ascii="Arial" w:hAnsi="Arial" w:cs="Arial"/>
              </w:rPr>
              <w:t>Would it be possible to name the three greatest challenges the Department is ha</w:t>
            </w:r>
            <w:r w:rsidR="001B2C47">
              <w:rPr>
                <w:rFonts w:ascii="Arial" w:hAnsi="Arial" w:cs="Arial"/>
              </w:rPr>
              <w:t>ving with the current solution?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A22DBB" w:rsidP="00A22DBB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bidder should provide their best proposal response to the requirements of the RFP.  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8.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Which operating platform does the Department currently use? / Is desired for the ADC Application Services?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031712" w:rsidP="003943CF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See RFP Section V.</w:t>
            </w:r>
            <w:r w:rsidR="003943CF">
              <w:rPr>
                <w:rFonts w:cs="Arial"/>
                <w:szCs w:val="22"/>
              </w:rPr>
              <w:t>B.</w:t>
            </w:r>
            <w:r>
              <w:rPr>
                <w:rFonts w:cs="Arial"/>
                <w:szCs w:val="22"/>
              </w:rPr>
              <w:t xml:space="preserve"> </w:t>
            </w:r>
            <w:r w:rsidR="003943CF">
              <w:rPr>
                <w:rFonts w:cs="Arial"/>
                <w:szCs w:val="22"/>
              </w:rPr>
              <w:t xml:space="preserve">– Current </w:t>
            </w:r>
            <w:r>
              <w:rPr>
                <w:rFonts w:cs="Arial"/>
                <w:szCs w:val="22"/>
              </w:rPr>
              <w:t>System and Environment</w:t>
            </w:r>
            <w:r w:rsidR="003943CF">
              <w:rPr>
                <w:rFonts w:cs="Arial"/>
                <w:szCs w:val="22"/>
              </w:rPr>
              <w:t xml:space="preserve"> and Section V.C. – Future System Overview.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9.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1B2C47">
            <w:pPr>
              <w:pStyle w:val="ListParagraph"/>
              <w:ind w:left="0"/>
              <w:rPr>
                <w:rFonts w:ascii="Arial" w:hAnsi="Arial" w:cs="Arial"/>
              </w:rPr>
            </w:pPr>
            <w:r w:rsidRPr="001B2C47">
              <w:rPr>
                <w:rFonts w:ascii="Arial" w:hAnsi="Arial" w:cs="Arial"/>
              </w:rPr>
              <w:t>What is the number of users anticipated fo</w:t>
            </w:r>
            <w:r w:rsidR="001B2C47">
              <w:rPr>
                <w:rFonts w:ascii="Arial" w:hAnsi="Arial" w:cs="Arial"/>
              </w:rPr>
              <w:t>r the ADC Application Services?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8E41A6" w:rsidP="007C4CE1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State currently has approximately 130 licenses for the ADC application services.  </w:t>
            </w:r>
            <w:r w:rsidR="007C4CE1">
              <w:rPr>
                <w:rFonts w:cs="Arial"/>
                <w:szCs w:val="22"/>
              </w:rPr>
              <w:t>This is subject to change depending on agency business decis</w:t>
            </w:r>
            <w:r w:rsidR="00031712">
              <w:rPr>
                <w:rFonts w:cs="Arial"/>
                <w:szCs w:val="22"/>
              </w:rPr>
              <w:t xml:space="preserve">ions, etc.  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10.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1B2C47">
            <w:pPr>
              <w:pStyle w:val="ListParagraph"/>
              <w:ind w:left="0"/>
              <w:rPr>
                <w:rFonts w:ascii="Arial" w:hAnsi="Arial" w:cs="Arial"/>
              </w:rPr>
            </w:pPr>
            <w:r w:rsidRPr="001B2C47">
              <w:rPr>
                <w:rFonts w:ascii="Arial" w:hAnsi="Arial" w:cs="Arial"/>
              </w:rPr>
              <w:t>Who is the technical contact and/or project manager fo</w:t>
            </w:r>
            <w:r w:rsidR="001B2C47">
              <w:rPr>
                <w:rFonts w:ascii="Arial" w:hAnsi="Arial" w:cs="Arial"/>
              </w:rPr>
              <w:t>r the ADC Application Services?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3943CF" w:rsidP="003943CF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See RFP Section II.B. - Notification 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11.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1B2C47">
            <w:pPr>
              <w:pStyle w:val="ListParagraph"/>
              <w:ind w:left="0"/>
              <w:rPr>
                <w:rFonts w:ascii="Arial" w:hAnsi="Arial" w:cs="Arial"/>
              </w:rPr>
            </w:pPr>
            <w:r w:rsidRPr="001B2C47">
              <w:rPr>
                <w:rFonts w:ascii="Arial" w:hAnsi="Arial" w:cs="Arial"/>
              </w:rPr>
              <w:t>Have you had any external assistance p</w:t>
            </w:r>
            <w:r w:rsidR="001B2C47">
              <w:rPr>
                <w:rFonts w:ascii="Arial" w:hAnsi="Arial" w:cs="Arial"/>
              </w:rPr>
              <w:t>reparing this RFP? If so, whom?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031712" w:rsidP="00156635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</w:tc>
      </w:tr>
      <w:tr w:rsidR="00E2308D" w:rsidRPr="001B2C47" w:rsidTr="009945C7">
        <w:tc>
          <w:tcPr>
            <w:tcW w:w="1098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:rsidR="00E2308D" w:rsidRPr="001B2C47" w:rsidRDefault="00E2308D" w:rsidP="00E2308D">
            <w:pPr>
              <w:pStyle w:val="ListParagraph"/>
              <w:ind w:left="0"/>
              <w:rPr>
                <w:rFonts w:ascii="Arial" w:hAnsi="Arial" w:cs="Arial"/>
              </w:rPr>
            </w:pPr>
            <w:r w:rsidRPr="001B2C47">
              <w:rPr>
                <w:rFonts w:ascii="Arial" w:hAnsi="Arial" w:cs="Arial"/>
              </w:rPr>
              <w:t>Does the Department anticipate any professional or consulting services may be needed to accomplish this effort? (</w:t>
            </w:r>
            <w:proofErr w:type="gramStart"/>
            <w:r w:rsidRPr="001B2C47">
              <w:rPr>
                <w:rFonts w:ascii="Arial" w:hAnsi="Arial" w:cs="Arial"/>
              </w:rPr>
              <w:t>i.e</w:t>
            </w:r>
            <w:proofErr w:type="gramEnd"/>
            <w:r w:rsidRPr="001B2C47">
              <w:rPr>
                <w:rFonts w:ascii="Arial" w:hAnsi="Arial" w:cs="Arial"/>
              </w:rPr>
              <w:t>. project planning/oversight, PM, QA, IV&amp;V, staff augmentation, implementation services etc.)? If so, which, when and through what procurement method?</w:t>
            </w:r>
          </w:p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3594" w:type="dxa"/>
            <w:shd w:val="clear" w:color="auto" w:fill="auto"/>
          </w:tcPr>
          <w:p w:rsidR="007C4CE1" w:rsidRPr="001B2C47" w:rsidRDefault="00E456DB" w:rsidP="007C4CE1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bidder should provide their best proposal response to the requirements of the RFP.  </w:t>
            </w:r>
          </w:p>
        </w:tc>
      </w:tr>
      <w:tr w:rsidR="00E2308D" w:rsidRPr="001B2C47" w:rsidTr="009945C7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13.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2308D" w:rsidRPr="001B2C47" w:rsidRDefault="00E2308D" w:rsidP="00156635">
            <w:pPr>
              <w:pStyle w:val="Level1Body"/>
              <w:rPr>
                <w:rFonts w:cs="Arial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E2308D" w:rsidRPr="001B2C47" w:rsidRDefault="00E2308D" w:rsidP="001B2C47">
            <w:pPr>
              <w:pStyle w:val="ListParagraph"/>
              <w:ind w:left="0"/>
              <w:rPr>
                <w:rFonts w:ascii="Arial" w:hAnsi="Arial" w:cs="Arial"/>
              </w:rPr>
            </w:pPr>
            <w:r w:rsidRPr="001B2C47">
              <w:rPr>
                <w:rFonts w:ascii="Arial" w:hAnsi="Arial" w:cs="Arial"/>
              </w:rPr>
              <w:t>Why was the previous</w:t>
            </w:r>
            <w:r w:rsidR="001B2C47">
              <w:rPr>
                <w:rFonts w:ascii="Arial" w:hAnsi="Arial" w:cs="Arial"/>
              </w:rPr>
              <w:t xml:space="preserve"> ADC RFP (# 5482 Z1) cancelled?</w:t>
            </w:r>
          </w:p>
        </w:tc>
        <w:tc>
          <w:tcPr>
            <w:tcW w:w="3594" w:type="dxa"/>
            <w:shd w:val="clear" w:color="auto" w:fill="auto"/>
          </w:tcPr>
          <w:p w:rsidR="00E2308D" w:rsidRPr="001B2C47" w:rsidRDefault="007C4CE1" w:rsidP="00156635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State was in the process of determining the direction of the State’s ERP system and whether or not it would move to a cloud-based solution. </w:t>
            </w:r>
          </w:p>
        </w:tc>
      </w:tr>
      <w:tr w:rsidR="00683BB1" w:rsidRPr="001B2C47" w:rsidTr="009945C7">
        <w:trPr>
          <w:trHeight w:val="1205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widowControl/>
              <w:autoSpaceDE/>
              <w:autoSpaceDN/>
              <w:adjustRightInd/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Attachment 4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1 &amp; 2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Are the scripts noted in attachment 4, all current DSI scripts used by the State of Nebraska?</w:t>
            </w:r>
          </w:p>
        </w:tc>
        <w:tc>
          <w:tcPr>
            <w:tcW w:w="3594" w:type="dxa"/>
            <w:shd w:val="clear" w:color="auto" w:fill="auto"/>
          </w:tcPr>
          <w:p w:rsidR="00683BB1" w:rsidRPr="001B2C47" w:rsidRDefault="007C4CE1" w:rsidP="00683BB1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  <w:r w:rsidR="00E456DB">
              <w:rPr>
                <w:rFonts w:cs="Arial"/>
                <w:szCs w:val="22"/>
              </w:rPr>
              <w:t>, all custom scripts created by the State of Nebraska are used by the State.</w:t>
            </w:r>
          </w:p>
        </w:tc>
      </w:tr>
      <w:tr w:rsidR="00683BB1" w:rsidRPr="001B2C47" w:rsidTr="009945C7">
        <w:trPr>
          <w:trHeight w:val="1322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widowControl/>
              <w:autoSpaceDE/>
              <w:autoSpaceDN/>
              <w:adjustRightInd/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Attachment 4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1 &amp; 2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Is the State wanting a proposal for all 28 applications listed in the attachment 4?</w:t>
            </w:r>
          </w:p>
        </w:tc>
        <w:tc>
          <w:tcPr>
            <w:tcW w:w="3594" w:type="dxa"/>
            <w:shd w:val="clear" w:color="auto" w:fill="auto"/>
          </w:tcPr>
          <w:p w:rsidR="00683BB1" w:rsidRPr="001B2C47" w:rsidRDefault="007C4CE1" w:rsidP="00A36FD3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Yes.  All functions listed in Attachment 4 are necessary </w:t>
            </w:r>
            <w:r w:rsidR="00A36FD3">
              <w:rPr>
                <w:rFonts w:cs="Arial"/>
                <w:szCs w:val="22"/>
              </w:rPr>
              <w:t xml:space="preserve">in the proposed solution.  </w:t>
            </w:r>
          </w:p>
        </w:tc>
      </w:tr>
      <w:tr w:rsidR="00683BB1" w:rsidRPr="001B2C47" w:rsidTr="009945C7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lastRenderedPageBreak/>
              <w:t>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Attachment 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1 &amp; 2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How is the </w:t>
            </w:r>
            <w:proofErr w:type="gramStart"/>
            <w:r w:rsidRPr="001B2C47">
              <w:rPr>
                <w:rFonts w:cs="Arial"/>
                <w:color w:val="000000"/>
                <w:szCs w:val="22"/>
              </w:rPr>
              <w:t>State  differentiating</w:t>
            </w:r>
            <w:proofErr w:type="gramEnd"/>
            <w:r w:rsidRPr="001B2C47">
              <w:rPr>
                <w:rFonts w:cs="Arial"/>
                <w:color w:val="000000"/>
                <w:szCs w:val="22"/>
              </w:rPr>
              <w:t xml:space="preserve"> between duplicate scripts in attachment 4?  For example, the following scripts appear to be duplicate:  - P8, P9 and ZZ</w:t>
            </w:r>
            <w:r w:rsidRPr="001B2C47">
              <w:rPr>
                <w:rFonts w:cs="Arial"/>
                <w:color w:val="000000"/>
                <w:szCs w:val="22"/>
              </w:rPr>
              <w:br/>
              <w:t xml:space="preserve">- S8 and S9 </w:t>
            </w:r>
            <w:r w:rsidRPr="001B2C47">
              <w:rPr>
                <w:rFonts w:cs="Arial"/>
                <w:color w:val="000000"/>
                <w:szCs w:val="22"/>
              </w:rPr>
              <w:br/>
              <w:t>- SE, SL, SD and SP</w:t>
            </w:r>
            <w:r w:rsidRPr="001B2C47">
              <w:rPr>
                <w:rFonts w:cs="Arial"/>
                <w:color w:val="000000"/>
                <w:szCs w:val="22"/>
              </w:rPr>
              <w:br/>
              <w:t>- P6 &amp; P4</w:t>
            </w:r>
            <w:r w:rsidRPr="001B2C47">
              <w:rPr>
                <w:rFonts w:cs="Arial"/>
                <w:color w:val="000000"/>
                <w:szCs w:val="22"/>
              </w:rPr>
              <w:br/>
              <w:t>- Q1 &amp; Q2</w:t>
            </w:r>
          </w:p>
        </w:tc>
        <w:tc>
          <w:tcPr>
            <w:tcW w:w="3594" w:type="dxa"/>
            <w:shd w:val="clear" w:color="auto" w:fill="auto"/>
          </w:tcPr>
          <w:p w:rsidR="00683BB1" w:rsidRPr="001B2C47" w:rsidRDefault="00A36FD3" w:rsidP="00A42423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There are </w:t>
            </w:r>
            <w:r w:rsidR="00E456DB">
              <w:rPr>
                <w:rFonts w:cs="Arial"/>
                <w:szCs w:val="22"/>
              </w:rPr>
              <w:t xml:space="preserve">similar </w:t>
            </w:r>
            <w:r>
              <w:rPr>
                <w:rFonts w:cs="Arial"/>
                <w:szCs w:val="22"/>
              </w:rPr>
              <w:t xml:space="preserve">scripts listed in Attachment 4.  Those </w:t>
            </w:r>
            <w:r w:rsidR="00E456DB">
              <w:rPr>
                <w:rFonts w:cs="Arial"/>
                <w:szCs w:val="22"/>
              </w:rPr>
              <w:t xml:space="preserve">variances </w:t>
            </w:r>
            <w:r>
              <w:rPr>
                <w:rFonts w:cs="Arial"/>
                <w:szCs w:val="22"/>
              </w:rPr>
              <w:t xml:space="preserve">are notated by “DLP.” </w:t>
            </w:r>
            <w:r w:rsidR="003943CF">
              <w:rPr>
                <w:rFonts w:cs="Arial"/>
                <w:szCs w:val="22"/>
              </w:rPr>
              <w:t xml:space="preserve"> P8, P9 and ZZ are the same script used by different agencies. S8 is specifically for </w:t>
            </w:r>
            <w:r w:rsidR="00A42423">
              <w:rPr>
                <w:rFonts w:cs="Arial"/>
                <w:szCs w:val="22"/>
              </w:rPr>
              <w:t xml:space="preserve">DLP process – License Plates </w:t>
            </w:r>
            <w:r w:rsidR="003943CF">
              <w:rPr>
                <w:rFonts w:cs="Arial"/>
                <w:szCs w:val="22"/>
              </w:rPr>
              <w:t xml:space="preserve">and S9 is for regular </w:t>
            </w:r>
            <w:r w:rsidR="00A42423">
              <w:rPr>
                <w:rFonts w:cs="Arial"/>
                <w:szCs w:val="22"/>
              </w:rPr>
              <w:t>processing</w:t>
            </w:r>
            <w:r w:rsidR="003943CF">
              <w:rPr>
                <w:rFonts w:cs="Arial"/>
                <w:szCs w:val="22"/>
              </w:rPr>
              <w:t xml:space="preserve">. </w:t>
            </w:r>
            <w:r w:rsidR="00A42423">
              <w:rPr>
                <w:rFonts w:cs="Arial"/>
                <w:szCs w:val="22"/>
              </w:rPr>
              <w:t xml:space="preserve">Same for SE &amp; SL – DLP processing, and SD &amp; SP for regular processing. </w:t>
            </w:r>
            <w:r w:rsidR="003943CF">
              <w:rPr>
                <w:rFonts w:cs="Arial"/>
                <w:szCs w:val="22"/>
              </w:rPr>
              <w:t>P6 and P4 are the same script used by different agencies.</w:t>
            </w:r>
            <w:r>
              <w:rPr>
                <w:rFonts w:cs="Arial"/>
                <w:szCs w:val="22"/>
              </w:rPr>
              <w:t xml:space="preserve"> Q1 Super Backflush is for Work Orders, and Q2 Super Backflush is specifically for DLP Work Orders – License Plates (Motor Vehicles).  </w:t>
            </w:r>
          </w:p>
        </w:tc>
      </w:tr>
      <w:tr w:rsidR="00683BB1" w:rsidRPr="001B2C47" w:rsidTr="009945C7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Attachment 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Can the State please provide more detail on start-up script? </w:t>
            </w:r>
          </w:p>
        </w:tc>
        <w:tc>
          <w:tcPr>
            <w:tcW w:w="3594" w:type="dxa"/>
            <w:shd w:val="clear" w:color="auto" w:fill="auto"/>
          </w:tcPr>
          <w:p w:rsidR="00683BB1" w:rsidRPr="001B2C47" w:rsidRDefault="00A36FD3" w:rsidP="00A36FD3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Appropriate start-up script is necessary for each user based on security roles as tied to a user’s User ID.  This is especially important with inmates IDs and access/security.  </w:t>
            </w:r>
          </w:p>
        </w:tc>
      </w:tr>
      <w:tr w:rsidR="00683BB1" w:rsidRPr="001B2C47" w:rsidTr="009945C7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Attachment 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Can the State please provide more detail on the L1 script?  Is this a production script?</w:t>
            </w:r>
          </w:p>
        </w:tc>
        <w:tc>
          <w:tcPr>
            <w:tcW w:w="3594" w:type="dxa"/>
            <w:shd w:val="clear" w:color="auto" w:fill="auto"/>
          </w:tcPr>
          <w:p w:rsidR="00683BB1" w:rsidRPr="001B2C47" w:rsidRDefault="00BD167B" w:rsidP="00BD167B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Local Transfer (IT) is an inventory transfer script.  A local transfer from one State shop to another State shop; essentially change of location only.</w:t>
            </w:r>
          </w:p>
        </w:tc>
      </w:tr>
      <w:tr w:rsidR="00683BB1" w:rsidRPr="001B2C47" w:rsidTr="009945C7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19.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Section </w:t>
            </w:r>
            <w:proofErr w:type="spellStart"/>
            <w:r w:rsidRPr="001B2C47">
              <w:rPr>
                <w:rFonts w:cs="Arial"/>
                <w:color w:val="000000"/>
                <w:szCs w:val="22"/>
              </w:rPr>
              <w:t>O</w:t>
            </w:r>
            <w:proofErr w:type="spellEnd"/>
            <w:r w:rsidRPr="001B2C47">
              <w:rPr>
                <w:rFonts w:cs="Arial"/>
                <w:color w:val="000000"/>
                <w:szCs w:val="22"/>
              </w:rPr>
              <w:t xml:space="preserve"> #1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The requirement states that this process is manual today.  If this process is automated, what is the planned system of record to manage this process? </w:t>
            </w:r>
          </w:p>
        </w:tc>
        <w:tc>
          <w:tcPr>
            <w:tcW w:w="3594" w:type="dxa"/>
            <w:shd w:val="clear" w:color="auto" w:fill="auto"/>
          </w:tcPr>
          <w:p w:rsidR="00683BB1" w:rsidRPr="00BD167B" w:rsidRDefault="00BD167B" w:rsidP="00344009">
            <w:pPr>
              <w:pStyle w:val="Level1Body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The system of record to manage this process would be Oracle Cloud Fusion. </w:t>
            </w:r>
          </w:p>
        </w:tc>
      </w:tr>
      <w:tr w:rsidR="00683BB1" w:rsidRPr="001B2C47" w:rsidTr="009945C7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Section </w:t>
            </w:r>
            <w:proofErr w:type="spellStart"/>
            <w:r w:rsidRPr="001B2C47">
              <w:rPr>
                <w:rFonts w:cs="Arial"/>
                <w:color w:val="000000"/>
                <w:szCs w:val="22"/>
              </w:rPr>
              <w:t>O</w:t>
            </w:r>
            <w:proofErr w:type="spellEnd"/>
            <w:r w:rsidRPr="001B2C47">
              <w:rPr>
                <w:rFonts w:cs="Arial"/>
                <w:color w:val="000000"/>
                <w:szCs w:val="22"/>
              </w:rPr>
              <w:t xml:space="preserve"> #7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What is the building access system? </w:t>
            </w:r>
          </w:p>
        </w:tc>
        <w:tc>
          <w:tcPr>
            <w:tcW w:w="3594" w:type="dxa"/>
            <w:shd w:val="clear" w:color="auto" w:fill="auto"/>
          </w:tcPr>
          <w:p w:rsidR="00683BB1" w:rsidRPr="00344009" w:rsidRDefault="00344009" w:rsidP="00C44B57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Building access systems vary across the State.  Bidder should indicate whether this functionality is </w:t>
            </w:r>
            <w:r w:rsidR="00C44B57">
              <w:rPr>
                <w:rFonts w:cs="Arial"/>
                <w:szCs w:val="22"/>
              </w:rPr>
              <w:t>available</w:t>
            </w:r>
            <w:r>
              <w:rPr>
                <w:rFonts w:cs="Arial"/>
                <w:szCs w:val="22"/>
              </w:rPr>
              <w:t xml:space="preserve">.  </w:t>
            </w:r>
          </w:p>
        </w:tc>
      </w:tr>
      <w:tr w:rsidR="00683BB1" w:rsidRPr="001B2C47" w:rsidTr="009945C7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pStyle w:val="Level1Body"/>
              <w:jc w:val="left"/>
              <w:rPr>
                <w:rFonts w:cs="Arial"/>
                <w:szCs w:val="22"/>
              </w:rPr>
            </w:pPr>
            <w:r w:rsidRPr="001B2C47">
              <w:rPr>
                <w:rFonts w:cs="Arial"/>
                <w:szCs w:val="22"/>
              </w:rPr>
              <w:t>21.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Section </w:t>
            </w:r>
            <w:proofErr w:type="spellStart"/>
            <w:r w:rsidRPr="001B2C47">
              <w:rPr>
                <w:rFonts w:cs="Arial"/>
                <w:color w:val="000000"/>
                <w:szCs w:val="22"/>
              </w:rPr>
              <w:t>O</w:t>
            </w:r>
            <w:proofErr w:type="spellEnd"/>
            <w:r w:rsidRPr="001B2C47">
              <w:rPr>
                <w:rFonts w:cs="Arial"/>
                <w:color w:val="000000"/>
                <w:szCs w:val="22"/>
              </w:rPr>
              <w:t xml:space="preserve"> #8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>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BB1" w:rsidRPr="001B2C47" w:rsidRDefault="00683BB1" w:rsidP="00683BB1">
            <w:pPr>
              <w:spacing w:before="0"/>
              <w:rPr>
                <w:rFonts w:cs="Arial"/>
                <w:color w:val="000000"/>
                <w:szCs w:val="22"/>
              </w:rPr>
            </w:pPr>
            <w:r w:rsidRPr="001B2C47">
              <w:rPr>
                <w:rFonts w:cs="Arial"/>
                <w:color w:val="000000"/>
                <w:szCs w:val="22"/>
              </w:rPr>
              <w:t xml:space="preserve">Please provide additional detail on the </w:t>
            </w:r>
            <w:proofErr w:type="spellStart"/>
            <w:r w:rsidRPr="001B2C47">
              <w:rPr>
                <w:rFonts w:cs="Arial"/>
                <w:color w:val="000000"/>
                <w:szCs w:val="22"/>
              </w:rPr>
              <w:t>punchout</w:t>
            </w:r>
            <w:proofErr w:type="spellEnd"/>
            <w:r w:rsidRPr="001B2C47">
              <w:rPr>
                <w:rFonts w:cs="Arial"/>
                <w:color w:val="000000"/>
                <w:szCs w:val="22"/>
              </w:rPr>
              <w:t xml:space="preserve"> capabilities for hardware purchases.  Is this referencing a </w:t>
            </w:r>
            <w:proofErr w:type="spellStart"/>
            <w:r w:rsidRPr="001B2C47">
              <w:rPr>
                <w:rFonts w:cs="Arial"/>
                <w:color w:val="000000"/>
                <w:szCs w:val="22"/>
              </w:rPr>
              <w:t>punchout</w:t>
            </w:r>
            <w:proofErr w:type="spellEnd"/>
            <w:r w:rsidRPr="001B2C47">
              <w:rPr>
                <w:rFonts w:cs="Arial"/>
                <w:color w:val="000000"/>
                <w:szCs w:val="22"/>
              </w:rPr>
              <w:t xml:space="preserve"> catalog for procurement?</w:t>
            </w:r>
          </w:p>
        </w:tc>
        <w:tc>
          <w:tcPr>
            <w:tcW w:w="3594" w:type="dxa"/>
            <w:shd w:val="clear" w:color="auto" w:fill="auto"/>
          </w:tcPr>
          <w:p w:rsidR="00683BB1" w:rsidRPr="001B2C47" w:rsidRDefault="00BD167B" w:rsidP="00C44B57">
            <w:pPr>
              <w:pStyle w:val="Level1Bod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Yes – this is referencing </w:t>
            </w:r>
            <w:proofErr w:type="spellStart"/>
            <w:r>
              <w:rPr>
                <w:rFonts w:cs="Arial"/>
                <w:szCs w:val="22"/>
              </w:rPr>
              <w:t>punchout</w:t>
            </w:r>
            <w:proofErr w:type="spellEnd"/>
            <w:r>
              <w:rPr>
                <w:rFonts w:cs="Arial"/>
                <w:szCs w:val="22"/>
              </w:rPr>
              <w:t xml:space="preserve"> catalog for procurement capabilities</w:t>
            </w:r>
            <w:r w:rsidR="00D472B5">
              <w:rPr>
                <w:rFonts w:cs="Arial"/>
                <w:szCs w:val="22"/>
              </w:rPr>
              <w:t xml:space="preserve"> on the side of the </w:t>
            </w:r>
            <w:r w:rsidR="00C44B57">
              <w:rPr>
                <w:rFonts w:cs="Arial"/>
                <w:szCs w:val="22"/>
              </w:rPr>
              <w:t>Contractor</w:t>
            </w:r>
            <w:bookmarkStart w:id="1" w:name="_GoBack"/>
            <w:bookmarkEnd w:id="1"/>
            <w:r>
              <w:rPr>
                <w:rFonts w:cs="Arial"/>
                <w:szCs w:val="22"/>
              </w:rPr>
              <w:t>.</w:t>
            </w:r>
          </w:p>
        </w:tc>
      </w:tr>
    </w:tbl>
    <w:p w:rsidR="000E1E41" w:rsidRPr="001B2C47" w:rsidRDefault="000E1E41" w:rsidP="000E1E41">
      <w:pPr>
        <w:widowControl/>
        <w:spacing w:before="0" w:line="240" w:lineRule="atLeast"/>
        <w:jc w:val="both"/>
        <w:rPr>
          <w:rFonts w:cs="Arial"/>
          <w:szCs w:val="22"/>
        </w:rPr>
      </w:pPr>
    </w:p>
    <w:p w:rsidR="00565F30" w:rsidRDefault="00565F30" w:rsidP="00565F30">
      <w:pPr>
        <w:pStyle w:val="Level1Body"/>
      </w:pPr>
      <w:r w:rsidRPr="00BD5697">
        <w:t xml:space="preserve">This addendum will become part of the </w:t>
      </w:r>
      <w:r w:rsidR="00E2308D">
        <w:t xml:space="preserve">proposal </w:t>
      </w:r>
      <w:r w:rsidRPr="00BD5697">
        <w:t xml:space="preserve">and </w:t>
      </w:r>
      <w:bookmarkStart w:id="2" w:name="a8"/>
      <w:r w:rsidRPr="00BD5697">
        <w:t>should</w:t>
      </w:r>
      <w:bookmarkEnd w:id="2"/>
      <w:r w:rsidRPr="00BD5697">
        <w:t xml:space="preserve"> be </w:t>
      </w:r>
      <w:bookmarkStart w:id="3" w:name="a9"/>
      <w:r w:rsidRPr="00BD5697">
        <w:t>acknowledged</w:t>
      </w:r>
      <w:bookmarkEnd w:id="3"/>
      <w:r w:rsidRPr="00BD5697">
        <w:t xml:space="preserve"> with the </w:t>
      </w:r>
      <w:r w:rsidR="00E2308D">
        <w:t>Request for Proposal response.</w:t>
      </w:r>
    </w:p>
    <w:p w:rsidR="00565F30" w:rsidRPr="00BD5697" w:rsidRDefault="00565F30" w:rsidP="00565F30">
      <w:pPr>
        <w:pStyle w:val="Level1Body"/>
        <w:sectPr w:rsidR="00565F30" w:rsidRPr="00BD5697" w:rsidSect="000B1D7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:rsidR="00FB04DC" w:rsidRPr="00FB04DC" w:rsidRDefault="00FB04DC" w:rsidP="00FB04DC">
      <w:pPr>
        <w:pStyle w:val="Level1Body"/>
      </w:pPr>
    </w:p>
    <w:p w:rsidR="00C35F83" w:rsidRPr="00BD5697" w:rsidRDefault="00C35F83" w:rsidP="00550FC8">
      <w:pPr>
        <w:pStyle w:val="Level1Body"/>
      </w:pPr>
    </w:p>
    <w:sectPr w:rsidR="00C35F83" w:rsidRPr="00BD5697">
      <w:footerReference w:type="default" r:id="rId11"/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CF" w:rsidRDefault="003943CF">
      <w:r>
        <w:separator/>
      </w:r>
    </w:p>
  </w:endnote>
  <w:endnote w:type="continuationSeparator" w:id="0">
    <w:p w:rsidR="003943CF" w:rsidRDefault="0039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CF" w:rsidRDefault="003943CF" w:rsidP="00374F2D">
    <w:pPr>
      <w:pStyle w:val="Footer"/>
      <w:jc w:val="center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CF" w:rsidRDefault="003943CF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44B57">
      <w:rPr>
        <w:rStyle w:val="PageNumber"/>
        <w:b/>
        <w:noProof/>
        <w:sz w:val="20"/>
      </w:rPr>
      <w:t>3</w:t>
    </w:r>
    <w:r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CF" w:rsidRDefault="003943CF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A42423">
      <w:rPr>
        <w:rStyle w:val="PageNumber"/>
        <w:b/>
        <w:noProof/>
        <w:sz w:val="20"/>
      </w:rPr>
      <w:t>4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CF" w:rsidRDefault="003943CF">
      <w:r>
        <w:separator/>
      </w:r>
    </w:p>
  </w:footnote>
  <w:footnote w:type="continuationSeparator" w:id="0">
    <w:p w:rsidR="003943CF" w:rsidRDefault="0039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CF" w:rsidRDefault="003943CF" w:rsidP="00374F2D">
    <w:pPr>
      <w:pStyle w:val="Header"/>
      <w:tabs>
        <w:tab w:val="clear" w:pos="4320"/>
        <w:tab w:val="clear" w:pos="8640"/>
        <w:tab w:val="left" w:pos="4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E66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A8A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E20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E1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61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B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0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8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7AB553B"/>
    <w:multiLevelType w:val="hybridMultilevel"/>
    <w:tmpl w:val="FAEE3CAA"/>
    <w:lvl w:ilvl="0" w:tplc="27D0CF52">
      <w:numFmt w:val="bullet"/>
      <w:lvlText w:val="-"/>
      <w:lvlJc w:val="left"/>
      <w:pPr>
        <w:ind w:left="930" w:hanging="57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AF449E"/>
    <w:multiLevelType w:val="hybridMultilevel"/>
    <w:tmpl w:val="4E5A26C8"/>
    <w:lvl w:ilvl="0" w:tplc="391C31DC">
      <w:start w:val="1"/>
      <w:numFmt w:val="decimal"/>
      <w:pStyle w:val="Level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color w:val="auto"/>
        <w:sz w:val="22"/>
      </w:rPr>
    </w:lvl>
    <w:lvl w:ilvl="1" w:tplc="38EE49A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 w:tplc="53CC4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0C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E4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47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6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A0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80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5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EB14A7"/>
    <w:multiLevelType w:val="multilevel"/>
    <w:tmpl w:val="3A4E303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1956A27"/>
    <w:multiLevelType w:val="multilevel"/>
    <w:tmpl w:val="E3D0440C"/>
    <w:numStyleLink w:val="SchedofEvents-Numbered"/>
  </w:abstractNum>
  <w:abstractNum w:abstractNumId="23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8A4C19"/>
    <w:multiLevelType w:val="hybridMultilevel"/>
    <w:tmpl w:val="47169E0E"/>
    <w:lvl w:ilvl="0" w:tplc="CAFC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68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87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4E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01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08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E2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2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084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541F7"/>
    <w:multiLevelType w:val="hybridMultilevel"/>
    <w:tmpl w:val="BB683352"/>
    <w:lvl w:ilvl="0" w:tplc="17C08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2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C4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EF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C2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7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0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48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6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pPr>
        <w:tabs>
          <w:tab w:val="num" w:pos="2160"/>
        </w:tabs>
        <w:ind w:left="2160" w:hanging="1008"/>
      </w:pPr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8" w15:restartNumberingAfterBreak="0">
    <w:nsid w:val="55F1555B"/>
    <w:multiLevelType w:val="multilevel"/>
    <w:tmpl w:val="E3D0440C"/>
    <w:numStyleLink w:val="SchedofEvents-Numbered"/>
  </w:abstractNum>
  <w:abstractNum w:abstractNumId="29" w15:restartNumberingAfterBreak="0">
    <w:nsid w:val="5BC42A96"/>
    <w:multiLevelType w:val="hybridMultilevel"/>
    <w:tmpl w:val="59FCB356"/>
    <w:lvl w:ilvl="0" w:tplc="F858F8E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5E7C1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43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25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AC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2A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80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E0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9D4368C"/>
    <w:multiLevelType w:val="multilevel"/>
    <w:tmpl w:val="E3D0440C"/>
    <w:numStyleLink w:val="SchedofEvents-Numbered"/>
  </w:abstractNum>
  <w:abstractNum w:abstractNumId="32" w15:restartNumberingAfterBreak="0">
    <w:nsid w:val="793068E5"/>
    <w:multiLevelType w:val="multilevel"/>
    <w:tmpl w:val="59FCB35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024D05"/>
    <w:multiLevelType w:val="multilevel"/>
    <w:tmpl w:val="8BD4D30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12"/>
  </w:num>
  <w:num w:numId="5">
    <w:abstractNumId w:val="30"/>
  </w:num>
  <w:num w:numId="6">
    <w:abstractNumId w:val="35"/>
  </w:num>
  <w:num w:numId="7">
    <w:abstractNumId w:val="16"/>
  </w:num>
  <w:num w:numId="8">
    <w:abstractNumId w:val="13"/>
  </w:num>
  <w:num w:numId="9">
    <w:abstractNumId w:val="29"/>
  </w:num>
  <w:num w:numId="10">
    <w:abstractNumId w:val="20"/>
  </w:num>
  <w:num w:numId="11">
    <w:abstractNumId w:val="17"/>
  </w:num>
  <w:num w:numId="12">
    <w:abstractNumId w:val="21"/>
  </w:num>
  <w:num w:numId="13">
    <w:abstractNumId w:val="25"/>
  </w:num>
  <w:num w:numId="14">
    <w:abstractNumId w:val="33"/>
  </w:num>
  <w:num w:numId="15">
    <w:abstractNumId w:val="10"/>
  </w:num>
  <w:num w:numId="16">
    <w:abstractNumId w:val="26"/>
  </w:num>
  <w:num w:numId="17">
    <w:abstractNumId w:val="24"/>
  </w:num>
  <w:num w:numId="18">
    <w:abstractNumId w:val="32"/>
  </w:num>
  <w:num w:numId="19">
    <w:abstractNumId w:val="15"/>
  </w:num>
  <w:num w:numId="20">
    <w:abstractNumId w:val="31"/>
  </w:num>
  <w:num w:numId="21">
    <w:abstractNumId w:val="28"/>
  </w:num>
  <w:num w:numId="22">
    <w:abstractNumId w:val="22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9"/>
  </w:num>
  <w:num w:numId="42">
    <w:abstractNumId w:val="15"/>
  </w:num>
  <w:num w:numId="43">
    <w:abstractNumId w:val="13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F"/>
    <w:rsid w:val="000133FE"/>
    <w:rsid w:val="00031712"/>
    <w:rsid w:val="00053790"/>
    <w:rsid w:val="000878CA"/>
    <w:rsid w:val="000B1D72"/>
    <w:rsid w:val="000C5432"/>
    <w:rsid w:val="000C5DA1"/>
    <w:rsid w:val="000D69C3"/>
    <w:rsid w:val="000D79DE"/>
    <w:rsid w:val="000E1E41"/>
    <w:rsid w:val="001134F7"/>
    <w:rsid w:val="00134CCE"/>
    <w:rsid w:val="00156635"/>
    <w:rsid w:val="00156FB7"/>
    <w:rsid w:val="0015747D"/>
    <w:rsid w:val="00182AD4"/>
    <w:rsid w:val="00184504"/>
    <w:rsid w:val="00195AFF"/>
    <w:rsid w:val="001A31C9"/>
    <w:rsid w:val="001A5FA3"/>
    <w:rsid w:val="001B2C47"/>
    <w:rsid w:val="001B7621"/>
    <w:rsid w:val="001C5FA2"/>
    <w:rsid w:val="001E7F55"/>
    <w:rsid w:val="001F6C28"/>
    <w:rsid w:val="00212CF9"/>
    <w:rsid w:val="0025668F"/>
    <w:rsid w:val="00287EB8"/>
    <w:rsid w:val="002A0AF2"/>
    <w:rsid w:val="002D71BD"/>
    <w:rsid w:val="002E4E3B"/>
    <w:rsid w:val="002F5695"/>
    <w:rsid w:val="00301CB5"/>
    <w:rsid w:val="00307D7C"/>
    <w:rsid w:val="0031330E"/>
    <w:rsid w:val="00314B87"/>
    <w:rsid w:val="00344009"/>
    <w:rsid w:val="00374F2D"/>
    <w:rsid w:val="00376645"/>
    <w:rsid w:val="003943CF"/>
    <w:rsid w:val="003C0E74"/>
    <w:rsid w:val="003C4D6F"/>
    <w:rsid w:val="003D5608"/>
    <w:rsid w:val="003E371B"/>
    <w:rsid w:val="003E742C"/>
    <w:rsid w:val="004152A3"/>
    <w:rsid w:val="00433F6F"/>
    <w:rsid w:val="00446D8B"/>
    <w:rsid w:val="00460353"/>
    <w:rsid w:val="00484DBC"/>
    <w:rsid w:val="004926FD"/>
    <w:rsid w:val="00495C72"/>
    <w:rsid w:val="00495FBB"/>
    <w:rsid w:val="004F2484"/>
    <w:rsid w:val="005315D8"/>
    <w:rsid w:val="00550FC8"/>
    <w:rsid w:val="00565F30"/>
    <w:rsid w:val="0058191C"/>
    <w:rsid w:val="005B42B6"/>
    <w:rsid w:val="0065317C"/>
    <w:rsid w:val="00672EB5"/>
    <w:rsid w:val="00683BB1"/>
    <w:rsid w:val="006B392D"/>
    <w:rsid w:val="006C0810"/>
    <w:rsid w:val="007124F4"/>
    <w:rsid w:val="007237A1"/>
    <w:rsid w:val="00740947"/>
    <w:rsid w:val="00744C0B"/>
    <w:rsid w:val="00754004"/>
    <w:rsid w:val="0076149B"/>
    <w:rsid w:val="007C187D"/>
    <w:rsid w:val="007C4CE1"/>
    <w:rsid w:val="007E6FBB"/>
    <w:rsid w:val="00825B01"/>
    <w:rsid w:val="0086338A"/>
    <w:rsid w:val="008909B1"/>
    <w:rsid w:val="008B1CA2"/>
    <w:rsid w:val="008E41A6"/>
    <w:rsid w:val="0090088E"/>
    <w:rsid w:val="009028B1"/>
    <w:rsid w:val="00913501"/>
    <w:rsid w:val="00927B54"/>
    <w:rsid w:val="0093111C"/>
    <w:rsid w:val="00944C93"/>
    <w:rsid w:val="00985593"/>
    <w:rsid w:val="00987AFA"/>
    <w:rsid w:val="009945C7"/>
    <w:rsid w:val="009A795A"/>
    <w:rsid w:val="009C6278"/>
    <w:rsid w:val="009E7049"/>
    <w:rsid w:val="009F49D3"/>
    <w:rsid w:val="00A01E94"/>
    <w:rsid w:val="00A22DBB"/>
    <w:rsid w:val="00A36FD3"/>
    <w:rsid w:val="00A42423"/>
    <w:rsid w:val="00A544AD"/>
    <w:rsid w:val="00AA0F1D"/>
    <w:rsid w:val="00AB1852"/>
    <w:rsid w:val="00B04380"/>
    <w:rsid w:val="00B061E4"/>
    <w:rsid w:val="00B4087F"/>
    <w:rsid w:val="00B6765A"/>
    <w:rsid w:val="00B83C14"/>
    <w:rsid w:val="00B858FE"/>
    <w:rsid w:val="00BD167B"/>
    <w:rsid w:val="00BD5697"/>
    <w:rsid w:val="00BE5A1E"/>
    <w:rsid w:val="00C262CC"/>
    <w:rsid w:val="00C2659A"/>
    <w:rsid w:val="00C317B5"/>
    <w:rsid w:val="00C35F83"/>
    <w:rsid w:val="00C44B57"/>
    <w:rsid w:val="00C4790E"/>
    <w:rsid w:val="00C54AAE"/>
    <w:rsid w:val="00CB1158"/>
    <w:rsid w:val="00CC7B05"/>
    <w:rsid w:val="00CE7602"/>
    <w:rsid w:val="00CF753A"/>
    <w:rsid w:val="00D472B5"/>
    <w:rsid w:val="00D5390D"/>
    <w:rsid w:val="00D60269"/>
    <w:rsid w:val="00D75131"/>
    <w:rsid w:val="00DA7CD3"/>
    <w:rsid w:val="00DB23F7"/>
    <w:rsid w:val="00DD2DBC"/>
    <w:rsid w:val="00E16298"/>
    <w:rsid w:val="00E2308D"/>
    <w:rsid w:val="00E360DF"/>
    <w:rsid w:val="00E37B3E"/>
    <w:rsid w:val="00E456DB"/>
    <w:rsid w:val="00E4723E"/>
    <w:rsid w:val="00E80044"/>
    <w:rsid w:val="00E85095"/>
    <w:rsid w:val="00E92AC8"/>
    <w:rsid w:val="00EE7171"/>
    <w:rsid w:val="00F102EA"/>
    <w:rsid w:val="00F12062"/>
    <w:rsid w:val="00F62487"/>
    <w:rsid w:val="00F86176"/>
    <w:rsid w:val="00F91450"/>
    <w:rsid w:val="00FB04DC"/>
    <w:rsid w:val="00FC03C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172F92C"/>
  <w15:chartTrackingRefBased/>
  <w15:docId w15:val="{BA761D9D-727D-4316-B7A6-110E4F5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C8"/>
    <w:pPr>
      <w:widowControl w:val="0"/>
      <w:autoSpaceDE w:val="0"/>
      <w:autoSpaceDN w:val="0"/>
      <w:adjustRightInd w:val="0"/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aliases w:val="forms/glossary"/>
    <w:basedOn w:val="Normal"/>
    <w:next w:val="Normal"/>
    <w:qFormat/>
    <w:rsid w:val="00550FC8"/>
    <w:pPr>
      <w:keepNext/>
      <w:widowControl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 w:after="54"/>
      <w:jc w:val="center"/>
      <w:outlineLvl w:val="0"/>
    </w:pPr>
    <w:rPr>
      <w:b/>
      <w:bCs/>
      <w:sz w:val="28"/>
      <w:szCs w:val="22"/>
    </w:rPr>
  </w:style>
  <w:style w:type="paragraph" w:styleId="Heading2">
    <w:name w:val="heading 2"/>
    <w:aliases w:val="RFP"/>
    <w:next w:val="Normal"/>
    <w:qFormat/>
    <w:rsid w:val="00550FC8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widowControl/>
      <w:overflowPunct w:val="0"/>
      <w:spacing w:before="0" w:after="240" w:line="240" w:lineRule="atLeast"/>
      <w:jc w:val="both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550FC8"/>
    <w:pPr>
      <w:keepNext/>
      <w:widowControl/>
      <w:autoSpaceDE/>
      <w:autoSpaceDN/>
      <w:adjustRightInd/>
      <w:spacing w:before="0"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overflowPunct w:val="0"/>
      <w:spacing w:before="0" w:line="240" w:lineRule="atLeast"/>
      <w:jc w:val="both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rsid w:val="00AA0F1D"/>
    <w:pPr>
      <w:numPr>
        <w:numId w:val="44"/>
      </w:numPr>
      <w:autoSpaceDE w:val="0"/>
      <w:autoSpaceDN w:val="0"/>
      <w:adjustRightInd w:val="0"/>
      <w:spacing w:before="120" w:after="57"/>
    </w:pPr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0"/>
    </w:p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550FC8"/>
    <w:pPr>
      <w:ind w:left="0"/>
    </w:pPr>
    <w:rPr>
      <w:szCs w:val="20"/>
    </w:rPr>
  </w:style>
  <w:style w:type="character" w:customStyle="1" w:styleId="Level1BodyChar">
    <w:name w:val="Level 1 Body Char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550FC8"/>
    <w:pPr>
      <w:widowControl/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/>
      <w:ind w:left="1440"/>
      <w:jc w:val="both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chedofEventsbody-Left">
    <w:name w:val="Sched of Events body- Left"/>
    <w:basedOn w:val="Normal"/>
    <w:rsid w:val="00550FC8"/>
    <w:pPr>
      <w:widowControl/>
      <w:autoSpaceDE/>
      <w:autoSpaceDN/>
      <w:adjustRightInd/>
      <w:spacing w:before="0"/>
    </w:pPr>
    <w:rPr>
      <w:szCs w:val="20"/>
    </w:rPr>
  </w:style>
  <w:style w:type="paragraph" w:customStyle="1" w:styleId="Level2">
    <w:name w:val="Level 2"/>
    <w:rsid w:val="00550FC8"/>
    <w:pPr>
      <w:keepNext/>
      <w:keepLines/>
      <w:numPr>
        <w:ilvl w:val="1"/>
        <w:numId w:val="40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rsid w:val="00550FC8"/>
    <w:pPr>
      <w:numPr>
        <w:ilvl w:val="2"/>
        <w:numId w:val="40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paragraph" w:customStyle="1" w:styleId="Level4">
    <w:name w:val="Level 4"/>
    <w:rsid w:val="00550FC8"/>
    <w:pPr>
      <w:numPr>
        <w:ilvl w:val="3"/>
        <w:numId w:val="40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customStyle="1" w:styleId="Level5">
    <w:name w:val="Level 5"/>
    <w:basedOn w:val="Level4"/>
    <w:rsid w:val="00550FC8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550FC8"/>
    <w:pPr>
      <w:widowControl/>
      <w:numPr>
        <w:ilvl w:val="5"/>
        <w:numId w:val="40"/>
      </w:numPr>
      <w:autoSpaceDE/>
      <w:autoSpaceDN/>
      <w:adjustRightInd/>
      <w:spacing w:before="0"/>
      <w:jc w:val="both"/>
    </w:pPr>
    <w:rPr>
      <w:szCs w:val="22"/>
    </w:rPr>
  </w:style>
  <w:style w:type="paragraph" w:customStyle="1" w:styleId="Level7">
    <w:name w:val="Level 7"/>
    <w:basedOn w:val="Normal"/>
    <w:rsid w:val="00550FC8"/>
    <w:pPr>
      <w:widowControl/>
      <w:numPr>
        <w:ilvl w:val="6"/>
        <w:numId w:val="40"/>
      </w:numPr>
      <w:autoSpaceDE/>
      <w:autoSpaceDN/>
      <w:adjustRightInd/>
      <w:spacing w:before="0"/>
      <w:jc w:val="both"/>
    </w:pPr>
    <w:rPr>
      <w:szCs w:val="22"/>
    </w:rPr>
  </w:style>
  <w:style w:type="numbering" w:customStyle="1" w:styleId="SchedofEvents-Numbered">
    <w:name w:val="Sched of Events - Numbered"/>
    <w:basedOn w:val="NoList"/>
    <w:rsid w:val="00550FC8"/>
    <w:pPr>
      <w:numPr>
        <w:numId w:val="19"/>
      </w:numPr>
    </w:pPr>
  </w:style>
  <w:style w:type="paragraph" w:customStyle="1" w:styleId="14bldcentr">
    <w:name w:val="14 bld centr"/>
    <w:aliases w:val="rfp frm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link w:val="BodyText"/>
    <w:rsid w:val="00F12062"/>
    <w:rPr>
      <w:rFonts w:ascii="Arial" w:hAnsi="Arial"/>
      <w:sz w:val="22"/>
      <w:szCs w:val="24"/>
    </w:rPr>
  </w:style>
  <w:style w:type="character" w:customStyle="1" w:styleId="BodyTextIndentChar">
    <w:name w:val="Body Text Indent Char"/>
    <w:link w:val="BodyTextIndent"/>
    <w:rsid w:val="00F12062"/>
    <w:rPr>
      <w:sz w:val="24"/>
      <w:szCs w:val="24"/>
    </w:rPr>
  </w:style>
  <w:style w:type="character" w:customStyle="1" w:styleId="14ptBoldLeft-StateofNE">
    <w:name w:val="14 pt Bold Left - State of NE"/>
    <w:rsid w:val="00550FC8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rsid w:val="00550FC8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550FC8"/>
    <w:pPr>
      <w:spacing w:before="0"/>
    </w:pPr>
  </w:style>
  <w:style w:type="character" w:customStyle="1" w:styleId="Glossary-Bold">
    <w:name w:val="Glossary - Bold"/>
    <w:rsid w:val="00550FC8"/>
    <w:rPr>
      <w:rFonts w:ascii="Arial" w:hAnsi="Arial"/>
      <w:b/>
      <w:bCs/>
    </w:rPr>
  </w:style>
  <w:style w:type="paragraph" w:customStyle="1" w:styleId="Level2Body">
    <w:name w:val="Level 2 Body"/>
    <w:basedOn w:val="Normal"/>
    <w:rsid w:val="00550FC8"/>
    <w:pPr>
      <w:widowControl/>
      <w:autoSpaceDE/>
      <w:autoSpaceDN/>
      <w:adjustRightInd/>
      <w:spacing w:before="0"/>
      <w:ind w:left="720"/>
      <w:jc w:val="both"/>
    </w:pPr>
    <w:rPr>
      <w:color w:val="000000"/>
    </w:rPr>
  </w:style>
  <w:style w:type="character" w:customStyle="1" w:styleId="Level1BodyforRFPForm">
    <w:name w:val="Level 1 Body for RFP Form"/>
    <w:rsid w:val="00550FC8"/>
    <w:rPr>
      <w:rFonts w:ascii="Arial" w:hAnsi="Arial"/>
      <w:sz w:val="20"/>
    </w:rPr>
  </w:style>
  <w:style w:type="paragraph" w:customStyle="1" w:styleId="Level3Bold">
    <w:name w:val="Level 3 Bold"/>
    <w:basedOn w:val="Level3"/>
    <w:rsid w:val="00550FC8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550FC8"/>
    <w:pPr>
      <w:widowControl/>
      <w:autoSpaceDE/>
      <w:autoSpaceDN/>
      <w:adjustRightInd/>
      <w:spacing w:before="0"/>
      <w:ind w:left="2160"/>
      <w:jc w:val="both"/>
    </w:pPr>
    <w:rPr>
      <w:szCs w:val="20"/>
    </w:rPr>
  </w:style>
  <w:style w:type="paragraph" w:customStyle="1" w:styleId="rfpformnumbers">
    <w:name w:val="rfp form numbers"/>
    <w:rsid w:val="00550FC8"/>
    <w:pPr>
      <w:numPr>
        <w:numId w:val="41"/>
      </w:numPr>
    </w:pPr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374F2D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374F2D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15663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08D"/>
    <w:pPr>
      <w:widowControl/>
      <w:autoSpaceDE/>
      <w:autoSpaceDN/>
      <w:adjustRightInd/>
      <w:spacing w:before="0"/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FC18-577D-4909-B119-F70CBF20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4569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cp:lastModifiedBy>Fleming, Teresa</cp:lastModifiedBy>
  <cp:revision>3</cp:revision>
  <cp:lastPrinted>2018-05-30T13:50:00Z</cp:lastPrinted>
  <dcterms:created xsi:type="dcterms:W3CDTF">2018-05-30T13:51:00Z</dcterms:created>
  <dcterms:modified xsi:type="dcterms:W3CDTF">2018-05-30T15:49:00Z</dcterms:modified>
</cp:coreProperties>
</file>